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1FA54FD" w14:textId="07D54B1B" w:rsidR="000C51CC" w:rsidRPr="00CD6115" w:rsidRDefault="000C51CC" w:rsidP="000C51CC">
      <w:pPr>
        <w:pStyle w:val="Textoindependiente"/>
        <w:ind w:right="40"/>
        <w:rPr>
          <w:rFonts w:ascii="Work Sans" w:hAnsi="Work Sans"/>
          <w:color w:val="000000"/>
          <w:szCs w:val="24"/>
          <w:lang w:eastAsia="es-CO"/>
        </w:rPr>
      </w:pPr>
      <w:r w:rsidRPr="00CD6115">
        <w:rPr>
          <w:rFonts w:ascii="Work Sans" w:hAnsi="Work Sans"/>
          <w:color w:val="000000"/>
          <w:szCs w:val="24"/>
          <w:lang w:eastAsia="es-CO"/>
        </w:rPr>
        <w:t>Cordial saludo,</w:t>
      </w:r>
    </w:p>
    <w:p w14:paraId="775F2821" w14:textId="77777777" w:rsidR="00CD6115" w:rsidRPr="00CD6115" w:rsidRDefault="00CD6115" w:rsidP="00914312">
      <w:pPr>
        <w:spacing w:after="0" w:line="240" w:lineRule="auto"/>
        <w:jc w:val="both"/>
        <w:rPr>
          <w:rFonts w:ascii="Work Sans" w:hAnsi="Work Sans"/>
          <w:sz w:val="24"/>
          <w:szCs w:val="24"/>
        </w:rPr>
      </w:pPr>
      <w:bookmarkStart w:id="0" w:name="_Hlk211931156"/>
    </w:p>
    <w:p w14:paraId="09C85894" w14:textId="75864C9B" w:rsidR="003459C6" w:rsidRPr="00CD6115" w:rsidRDefault="003459C6" w:rsidP="00914312">
      <w:pPr>
        <w:spacing w:after="0" w:line="240" w:lineRule="auto"/>
        <w:jc w:val="both"/>
        <w:rPr>
          <w:rFonts w:ascii="Work Sans" w:hAnsi="Work Sans"/>
          <w:sz w:val="24"/>
          <w:szCs w:val="24"/>
        </w:rPr>
      </w:pPr>
      <w:r w:rsidRPr="00CD6115">
        <w:rPr>
          <w:rFonts w:ascii="Work Sans" w:hAnsi="Work Sans"/>
          <w:sz w:val="24"/>
          <w:szCs w:val="24"/>
        </w:rPr>
        <w:t>En atención a la comunicación registrada con el número de radicado relacionado en el asunto, mediante la cual</w:t>
      </w:r>
      <w:r w:rsidR="00985F14">
        <w:rPr>
          <w:rFonts w:ascii="Work Sans" w:hAnsi="Work Sans"/>
          <w:sz w:val="24"/>
          <w:szCs w:val="24"/>
        </w:rPr>
        <w:t xml:space="preserve"> </w:t>
      </w:r>
      <w:r w:rsidRPr="00CD6115">
        <w:rPr>
          <w:rFonts w:ascii="Work Sans" w:hAnsi="Work Sans"/>
          <w:sz w:val="24"/>
          <w:szCs w:val="24"/>
        </w:rPr>
        <w:t>se indica: “</w:t>
      </w:r>
      <w:r w:rsidR="00CD6115" w:rsidRPr="00CD6115">
        <w:rPr>
          <w:rFonts w:ascii="Work Sans" w:hAnsi="Work Sans"/>
          <w:sz w:val="24"/>
          <w:szCs w:val="24"/>
        </w:rPr>
        <w:t xml:space="preserve">Que el Ministerio de Minas y Energía inste a la empresa </w:t>
      </w:r>
      <w:r w:rsidR="00742A88">
        <w:rPr>
          <w:rFonts w:ascii="Work Sans" w:hAnsi="Work Sans"/>
          <w:sz w:val="24"/>
          <w:szCs w:val="24"/>
        </w:rPr>
        <w:t>MINEROS ALUVIAL</w:t>
      </w:r>
      <w:r w:rsidR="00CD6115" w:rsidRPr="00CD6115">
        <w:rPr>
          <w:rFonts w:ascii="Work Sans" w:hAnsi="Work Sans"/>
          <w:sz w:val="24"/>
          <w:szCs w:val="24"/>
        </w:rPr>
        <w:t xml:space="preserve"> S.A</w:t>
      </w:r>
      <w:r w:rsidR="003D34DF">
        <w:rPr>
          <w:rFonts w:ascii="Work Sans" w:hAnsi="Work Sans"/>
          <w:sz w:val="24"/>
          <w:szCs w:val="24"/>
        </w:rPr>
        <w:t>.</w:t>
      </w:r>
      <w:r w:rsidR="00742A88">
        <w:rPr>
          <w:rFonts w:ascii="Work Sans" w:hAnsi="Work Sans"/>
          <w:sz w:val="24"/>
          <w:szCs w:val="24"/>
        </w:rPr>
        <w:t>S. BIC</w:t>
      </w:r>
      <w:r w:rsidR="00CD6115" w:rsidRPr="00CD6115">
        <w:rPr>
          <w:rFonts w:ascii="Work Sans" w:hAnsi="Work Sans"/>
          <w:sz w:val="24"/>
          <w:szCs w:val="24"/>
        </w:rPr>
        <w:t xml:space="preserve"> a un proceso de mediación</w:t>
      </w:r>
      <w:r w:rsidRPr="00CD6115">
        <w:rPr>
          <w:rFonts w:ascii="Work Sans" w:hAnsi="Work Sans"/>
          <w:sz w:val="24"/>
          <w:szCs w:val="24"/>
        </w:rPr>
        <w:t>”, nos permitimos informar lo siguiente:</w:t>
      </w:r>
    </w:p>
    <w:p w14:paraId="401E7563" w14:textId="77777777" w:rsidR="00BE059B" w:rsidRPr="00104E98" w:rsidRDefault="00BE059B" w:rsidP="00BE059B">
      <w:pPr>
        <w:pStyle w:val="NormalWeb"/>
        <w:jc w:val="both"/>
        <w:rPr>
          <w:rFonts w:ascii="Work Sans" w:hAnsi="Work Sans"/>
        </w:rPr>
      </w:pPr>
      <w:r w:rsidRPr="00CD6115">
        <w:rPr>
          <w:rFonts w:ascii="Work Sans" w:hAnsi="Work Sans"/>
        </w:rPr>
        <w:t>Una de las principales apuestas que se tienen desde la Dirección de Formalización Minera, consiste en lograr que los mineros de pequeña escala alcancen la formalidad de sus operaciones. Para ello, el Ministerio de Minas y Energía ha diseñado herramientas conceptuales y operativas para que, con el concurso y la participación interinstitucional de diversos actores y entidades, se promueva la formalización de actividades mineras dirigidas a fomentar el adecuado aprovechamiento minero</w:t>
      </w:r>
      <w:r w:rsidRPr="00104E98">
        <w:rPr>
          <w:rFonts w:ascii="Work Sans" w:hAnsi="Work Sans"/>
        </w:rPr>
        <w:t xml:space="preserve">, con plena observancia de sus deberes ambientales y legales, a la vez que propicie la protección de los derechos que asisten a poblaciones mineras, a los territorios y los ecosistemas. </w:t>
      </w:r>
    </w:p>
    <w:p w14:paraId="7D4692D4" w14:textId="70C7BD3E" w:rsidR="00BE059B" w:rsidRDefault="00BE059B" w:rsidP="0002716F">
      <w:pPr>
        <w:pStyle w:val="NormalWeb"/>
        <w:jc w:val="both"/>
        <w:rPr>
          <w:rFonts w:ascii="Work Sans" w:hAnsi="Work Sans"/>
        </w:rPr>
      </w:pPr>
      <w:r w:rsidRPr="00104E98">
        <w:rPr>
          <w:rFonts w:ascii="Work Sans" w:hAnsi="Work Sans"/>
        </w:rPr>
        <w:t>Para el caso de la pequeña minería, la legislación colombiana ha incluido en la última década diversos mecanismos jurídicos a través de los cuales los mineros pueden acceder a la formalización de sus operaciones. La idoneidad de cada uno de esos mecanismos se establece considerando la situación de titulación del área objeto de interés, es decir, si se trata de un área libre</w:t>
      </w:r>
      <w:r w:rsidRPr="00104E98">
        <w:rPr>
          <w:rFonts w:ascii="Work Sans" w:hAnsi="Work Sans"/>
          <w:vertAlign w:val="superscript"/>
        </w:rPr>
        <w:footnoteReference w:id="1"/>
      </w:r>
      <w:r w:rsidRPr="00104E98">
        <w:rPr>
          <w:rFonts w:ascii="Work Sans" w:hAnsi="Work Sans"/>
        </w:rPr>
        <w:t xml:space="preserve">, en proceso de </w:t>
      </w:r>
      <w:r w:rsidRPr="00104E98">
        <w:rPr>
          <w:rFonts w:ascii="Work Sans" w:hAnsi="Work Sans"/>
        </w:rPr>
        <w:lastRenderedPageBreak/>
        <w:t>titulación o titulada a un tercero</w:t>
      </w:r>
      <w:r w:rsidRPr="00104E98">
        <w:rPr>
          <w:rFonts w:ascii="Work Sans" w:hAnsi="Work Sans"/>
          <w:vertAlign w:val="superscript"/>
        </w:rPr>
        <w:footnoteReference w:id="2"/>
      </w:r>
      <w:r w:rsidRPr="00104E98">
        <w:rPr>
          <w:rFonts w:ascii="Work Sans" w:hAnsi="Work Sans"/>
        </w:rPr>
        <w:t>, así como sus características ambientales, para poder establecer si existen o no restricciones de ese tipo.</w:t>
      </w:r>
      <w:bookmarkEnd w:id="0"/>
    </w:p>
    <w:p w14:paraId="39B3EC89" w14:textId="11E42FE2" w:rsidR="003459C6" w:rsidRPr="00CD6115" w:rsidRDefault="003459C6" w:rsidP="003459C6">
      <w:pPr>
        <w:suppressAutoHyphens w:val="0"/>
        <w:spacing w:after="0" w:line="240" w:lineRule="auto"/>
        <w:jc w:val="both"/>
        <w:rPr>
          <w:rFonts w:ascii="Work Sans" w:eastAsia="Times New Roman" w:hAnsi="Work Sans" w:cs="Times New Roman"/>
          <w:sz w:val="24"/>
          <w:szCs w:val="24"/>
          <w:lang w:eastAsia="es-CO"/>
        </w:rPr>
      </w:pPr>
      <w:r w:rsidRPr="00CD6115">
        <w:rPr>
          <w:rFonts w:ascii="Work Sans" w:eastAsia="Times New Roman" w:hAnsi="Work Sans" w:cs="Times New Roman"/>
          <w:sz w:val="24"/>
          <w:szCs w:val="24"/>
          <w:lang w:eastAsia="es-CO"/>
        </w:rPr>
        <w:t xml:space="preserve">Siendo así, con base en </w:t>
      </w:r>
      <w:r w:rsidR="00CD6115" w:rsidRPr="00CD6115">
        <w:rPr>
          <w:rFonts w:ascii="Work Sans" w:eastAsia="Times New Roman" w:hAnsi="Work Sans" w:cs="Times New Roman"/>
          <w:sz w:val="24"/>
          <w:szCs w:val="24"/>
          <w:lang w:eastAsia="es-CO"/>
        </w:rPr>
        <w:t>la información remitida</w:t>
      </w:r>
      <w:r w:rsidRPr="00CD6115">
        <w:rPr>
          <w:rFonts w:ascii="Work Sans" w:eastAsia="Times New Roman" w:hAnsi="Work Sans" w:cs="Times New Roman"/>
          <w:sz w:val="24"/>
          <w:szCs w:val="24"/>
          <w:lang w:eastAsia="es-CO"/>
        </w:rPr>
        <w:t>, se identifica que el área de interés de formalización se superpone con</w:t>
      </w:r>
      <w:r w:rsidR="0077308E">
        <w:rPr>
          <w:rFonts w:ascii="Work Sans" w:eastAsia="Times New Roman" w:hAnsi="Work Sans" w:cs="Times New Roman"/>
          <w:sz w:val="24"/>
          <w:szCs w:val="24"/>
          <w:lang w:eastAsia="es-CO"/>
        </w:rPr>
        <w:t xml:space="preserve"> el Reconocimiento de Propiedad Privada</w:t>
      </w:r>
      <w:r w:rsidR="00ED6970">
        <w:rPr>
          <w:rFonts w:ascii="Work Sans" w:eastAsia="Times New Roman" w:hAnsi="Work Sans" w:cs="Times New Roman"/>
          <w:sz w:val="24"/>
          <w:szCs w:val="24"/>
          <w:lang w:eastAsia="es-CO"/>
        </w:rPr>
        <w:t xml:space="preserve"> identificado con la placa No.</w:t>
      </w:r>
      <w:r w:rsidRPr="00CD6115">
        <w:rPr>
          <w:rFonts w:ascii="Work Sans" w:eastAsia="Times New Roman" w:hAnsi="Work Sans" w:cs="Times New Roman"/>
          <w:sz w:val="24"/>
          <w:szCs w:val="24"/>
          <w:lang w:eastAsia="es-CO"/>
        </w:rPr>
        <w:t xml:space="preserve"> </w:t>
      </w:r>
      <w:r w:rsidR="0077308E" w:rsidRPr="0077308E">
        <w:rPr>
          <w:rFonts w:ascii="Work Sans" w:eastAsia="Times New Roman" w:hAnsi="Work Sans" w:cs="Times New Roman"/>
          <w:sz w:val="24"/>
          <w:szCs w:val="24"/>
          <w:lang w:eastAsia="es-CO"/>
        </w:rPr>
        <w:t>R</w:t>
      </w:r>
      <w:r w:rsidR="00742A88">
        <w:rPr>
          <w:rFonts w:ascii="Work Sans" w:eastAsia="Times New Roman" w:hAnsi="Work Sans" w:cs="Times New Roman"/>
          <w:sz w:val="24"/>
          <w:szCs w:val="24"/>
          <w:lang w:eastAsia="es-CO"/>
        </w:rPr>
        <w:t>57011</w:t>
      </w:r>
      <w:r w:rsidR="00CD6115" w:rsidRPr="0077308E">
        <w:rPr>
          <w:rFonts w:ascii="Work Sans" w:eastAsia="Times New Roman" w:hAnsi="Work Sans" w:cs="Times New Roman"/>
          <w:sz w:val="24"/>
          <w:szCs w:val="24"/>
          <w:lang w:eastAsia="es-CO"/>
        </w:rPr>
        <w:t xml:space="preserve"> </w:t>
      </w:r>
      <w:r w:rsidRPr="0077308E">
        <w:rPr>
          <w:rFonts w:ascii="Work Sans" w:eastAsia="Times New Roman" w:hAnsi="Work Sans" w:cs="Times New Roman"/>
          <w:sz w:val="24"/>
          <w:szCs w:val="24"/>
          <w:lang w:eastAsia="es-CO"/>
        </w:rPr>
        <w:t>de la empresa</w:t>
      </w:r>
      <w:r w:rsidR="00742A88">
        <w:rPr>
          <w:rFonts w:ascii="Work Sans" w:eastAsia="Times New Roman" w:hAnsi="Work Sans" w:cs="Times New Roman"/>
          <w:sz w:val="24"/>
          <w:szCs w:val="24"/>
          <w:lang w:eastAsia="es-CO"/>
        </w:rPr>
        <w:t xml:space="preserve"> MINEROS ALUVIAL</w:t>
      </w:r>
      <w:r w:rsidR="00CD6115" w:rsidRPr="0077308E">
        <w:rPr>
          <w:rFonts w:ascii="Work Sans" w:eastAsia="Times New Roman" w:hAnsi="Work Sans" w:cs="Times New Roman"/>
          <w:sz w:val="24"/>
          <w:szCs w:val="24"/>
          <w:lang w:eastAsia="es-CO"/>
        </w:rPr>
        <w:t xml:space="preserve"> S.A</w:t>
      </w:r>
      <w:r w:rsidRPr="0077308E">
        <w:rPr>
          <w:rFonts w:ascii="Work Sans" w:eastAsia="Times New Roman" w:hAnsi="Work Sans" w:cs="Times New Roman"/>
          <w:sz w:val="24"/>
          <w:szCs w:val="24"/>
          <w:lang w:eastAsia="es-CO"/>
        </w:rPr>
        <w:t>.</w:t>
      </w:r>
      <w:r w:rsidR="00742A88">
        <w:rPr>
          <w:rFonts w:ascii="Work Sans" w:eastAsia="Times New Roman" w:hAnsi="Work Sans" w:cs="Times New Roman"/>
          <w:sz w:val="24"/>
          <w:szCs w:val="24"/>
          <w:lang w:eastAsia="es-CO"/>
        </w:rPr>
        <w:t>S. BIC.</w:t>
      </w:r>
    </w:p>
    <w:p w14:paraId="1A205913" w14:textId="77777777" w:rsidR="003459C6" w:rsidRPr="003459C6" w:rsidRDefault="003459C6" w:rsidP="003459C6">
      <w:pPr>
        <w:suppressAutoHyphens w:val="0"/>
        <w:spacing w:after="0" w:line="240" w:lineRule="auto"/>
        <w:jc w:val="both"/>
        <w:rPr>
          <w:rFonts w:ascii="Work Sans" w:eastAsia="Times New Roman" w:hAnsi="Work Sans" w:cs="Calibri"/>
          <w:color w:val="000000"/>
          <w:sz w:val="24"/>
          <w:szCs w:val="24"/>
          <w:bdr w:val="none" w:sz="0" w:space="0" w:color="auto" w:frame="1"/>
          <w:lang w:eastAsia="es-CO"/>
        </w:rPr>
      </w:pPr>
    </w:p>
    <w:p w14:paraId="08856F0D" w14:textId="0EBA864F" w:rsidR="003459C6" w:rsidRPr="00104E98" w:rsidRDefault="003459C6" w:rsidP="003459C6">
      <w:pPr>
        <w:spacing w:after="0" w:line="240" w:lineRule="auto"/>
        <w:jc w:val="both"/>
        <w:rPr>
          <w:rFonts w:ascii="Work Sans" w:hAnsi="Work Sans"/>
          <w:sz w:val="24"/>
          <w:szCs w:val="24"/>
        </w:rPr>
      </w:pPr>
      <w:bookmarkStart w:id="1" w:name="_Hlk211931372"/>
      <w:r w:rsidRPr="00104E98">
        <w:rPr>
          <w:rFonts w:ascii="Work Sans" w:hAnsi="Work Sans"/>
          <w:sz w:val="24"/>
          <w:szCs w:val="24"/>
        </w:rPr>
        <w:t>En ese orden de ideas, cuando los trabajos mineros se encuentren superpuestos con títulos mineros vigentes, el Ministerio de Minas y Energía en el marco</w:t>
      </w:r>
      <w:r w:rsidR="0095183A">
        <w:rPr>
          <w:rFonts w:ascii="Work Sans" w:hAnsi="Work Sans"/>
          <w:sz w:val="24"/>
          <w:szCs w:val="24"/>
        </w:rPr>
        <w:t xml:space="preserve"> de</w:t>
      </w:r>
      <w:r w:rsidRPr="00104E98">
        <w:rPr>
          <w:rFonts w:ascii="Work Sans" w:hAnsi="Work Sans"/>
          <w:sz w:val="24"/>
          <w:szCs w:val="24"/>
        </w:rPr>
        <w:t xml:space="preserve"> sus competencias</w:t>
      </w:r>
      <w:r>
        <w:rPr>
          <w:rFonts w:ascii="Work Sans" w:hAnsi="Work Sans"/>
          <w:sz w:val="24"/>
          <w:szCs w:val="24"/>
        </w:rPr>
        <w:t xml:space="preserve"> (</w:t>
      </w:r>
      <w:r w:rsidRPr="006E5BF6">
        <w:rPr>
          <w:rFonts w:ascii="Work Sans" w:eastAsia="Times New Roman" w:hAnsi="Work Sans" w:cs="Times New Roman"/>
          <w:sz w:val="24"/>
          <w:szCs w:val="24"/>
          <w:lang w:eastAsia="es-CO"/>
        </w:rPr>
        <w:t>Decreto 0381 del 16 de febrero de 2012 modificado y adicionado por el Decreto 1617 de 2013</w:t>
      </w:r>
      <w:r>
        <w:rPr>
          <w:rFonts w:ascii="Work Sans" w:eastAsia="Times New Roman" w:hAnsi="Work Sans" w:cs="Times New Roman"/>
          <w:sz w:val="24"/>
          <w:szCs w:val="24"/>
          <w:lang w:eastAsia="es-CO"/>
        </w:rPr>
        <w:t>)</w:t>
      </w:r>
      <w:r w:rsidRPr="00104E98">
        <w:rPr>
          <w:rFonts w:ascii="Work Sans" w:hAnsi="Work Sans"/>
          <w:sz w:val="24"/>
          <w:szCs w:val="24"/>
        </w:rPr>
        <w:t xml:space="preserve"> podr</w:t>
      </w:r>
      <w:r>
        <w:rPr>
          <w:rFonts w:ascii="Work Sans" w:hAnsi="Work Sans"/>
          <w:sz w:val="24"/>
          <w:szCs w:val="24"/>
        </w:rPr>
        <w:t>á</w:t>
      </w:r>
      <w:r w:rsidRPr="00104E98">
        <w:rPr>
          <w:rFonts w:ascii="Work Sans" w:hAnsi="Work Sans"/>
          <w:sz w:val="24"/>
          <w:szCs w:val="24"/>
        </w:rPr>
        <w:t xml:space="preserve"> iniciar acciones encaminadas en propiciar espacios de mediación, diálogo y negociación entre los titulares ya reconocidos y los mineros </w:t>
      </w:r>
      <w:r>
        <w:rPr>
          <w:rFonts w:ascii="Work Sans" w:hAnsi="Work Sans"/>
          <w:sz w:val="24"/>
          <w:szCs w:val="24"/>
        </w:rPr>
        <w:t>informales</w:t>
      </w:r>
      <w:r w:rsidRPr="00104E98">
        <w:rPr>
          <w:rFonts w:ascii="Work Sans" w:hAnsi="Work Sans"/>
          <w:sz w:val="24"/>
          <w:szCs w:val="24"/>
        </w:rPr>
        <w:t xml:space="preserve">, buscando llegar a acuerdos duraderos que permitan la coexistencia de ambas operaciones bajo los mecanismos de formalización </w:t>
      </w:r>
      <w:r>
        <w:rPr>
          <w:rFonts w:ascii="Work Sans" w:hAnsi="Work Sans"/>
          <w:sz w:val="24"/>
          <w:szCs w:val="24"/>
        </w:rPr>
        <w:t>que brinda la normatividad (</w:t>
      </w:r>
      <w:r w:rsidRPr="00761366">
        <w:rPr>
          <w:rFonts w:ascii="Work Sans" w:hAnsi="Work Sans"/>
          <w:sz w:val="24"/>
          <w:szCs w:val="24"/>
        </w:rPr>
        <w:t>1</w:t>
      </w:r>
      <w:r>
        <w:rPr>
          <w:rFonts w:ascii="Work Sans" w:hAnsi="Work Sans"/>
          <w:sz w:val="24"/>
          <w:szCs w:val="24"/>
        </w:rPr>
        <w:t>.</w:t>
      </w:r>
      <w:r w:rsidRPr="00761366">
        <w:rPr>
          <w:rFonts w:ascii="Work Sans" w:hAnsi="Work Sans"/>
          <w:sz w:val="24"/>
          <w:szCs w:val="24"/>
        </w:rPr>
        <w:t xml:space="preserve"> Subcontrato de Formalización Minera; 2</w:t>
      </w:r>
      <w:r>
        <w:rPr>
          <w:rFonts w:ascii="Work Sans" w:hAnsi="Work Sans"/>
          <w:sz w:val="24"/>
          <w:szCs w:val="24"/>
        </w:rPr>
        <w:t>.</w:t>
      </w:r>
      <w:r w:rsidRPr="00761366">
        <w:rPr>
          <w:rFonts w:ascii="Work Sans" w:hAnsi="Work Sans"/>
          <w:sz w:val="24"/>
          <w:szCs w:val="24"/>
        </w:rPr>
        <w:t xml:space="preserve"> Devolución de Área para la Formalización Minera; 3</w:t>
      </w:r>
      <w:r>
        <w:rPr>
          <w:rFonts w:ascii="Work Sans" w:hAnsi="Work Sans"/>
          <w:sz w:val="24"/>
          <w:szCs w:val="24"/>
        </w:rPr>
        <w:t>.</w:t>
      </w:r>
      <w:r w:rsidRPr="00761366">
        <w:rPr>
          <w:rFonts w:ascii="Work Sans" w:hAnsi="Work Sans"/>
          <w:sz w:val="24"/>
          <w:szCs w:val="24"/>
        </w:rPr>
        <w:t xml:space="preserve"> Cesión de Derechos; 4</w:t>
      </w:r>
      <w:r>
        <w:rPr>
          <w:rFonts w:ascii="Work Sans" w:hAnsi="Work Sans"/>
          <w:sz w:val="24"/>
          <w:szCs w:val="24"/>
        </w:rPr>
        <w:t>.</w:t>
      </w:r>
      <w:r w:rsidRPr="00761366">
        <w:rPr>
          <w:rFonts w:ascii="Work Sans" w:hAnsi="Work Sans"/>
          <w:sz w:val="24"/>
          <w:szCs w:val="24"/>
        </w:rPr>
        <w:t xml:space="preserve"> Cesión de Áreas; 5</w:t>
      </w:r>
      <w:r>
        <w:rPr>
          <w:rFonts w:ascii="Work Sans" w:hAnsi="Work Sans"/>
          <w:sz w:val="24"/>
          <w:szCs w:val="24"/>
        </w:rPr>
        <w:t>.</w:t>
      </w:r>
      <w:r w:rsidRPr="00761366">
        <w:rPr>
          <w:rFonts w:ascii="Work Sans" w:hAnsi="Work Sans"/>
          <w:sz w:val="24"/>
          <w:szCs w:val="24"/>
        </w:rPr>
        <w:t xml:space="preserve"> Contratos de Asociación y Operació</w:t>
      </w:r>
      <w:r>
        <w:rPr>
          <w:rFonts w:ascii="Work Sans" w:hAnsi="Work Sans"/>
          <w:sz w:val="24"/>
          <w:szCs w:val="24"/>
        </w:rPr>
        <w:t>n).</w:t>
      </w:r>
    </w:p>
    <w:p w14:paraId="02D7F3F5" w14:textId="77777777" w:rsidR="00BE059B" w:rsidRPr="00104E98" w:rsidRDefault="00BE059B" w:rsidP="00BE059B">
      <w:pPr>
        <w:spacing w:after="0" w:line="240" w:lineRule="auto"/>
        <w:jc w:val="both"/>
        <w:rPr>
          <w:rFonts w:ascii="Work Sans" w:hAnsi="Work Sans"/>
          <w:sz w:val="24"/>
          <w:szCs w:val="24"/>
        </w:rPr>
      </w:pPr>
    </w:p>
    <w:p w14:paraId="31B6B8E6" w14:textId="009FC3C1" w:rsidR="00BE059B" w:rsidRPr="00104E98" w:rsidRDefault="00BE059B" w:rsidP="00BE059B">
      <w:pPr>
        <w:spacing w:after="0" w:line="240" w:lineRule="auto"/>
        <w:jc w:val="both"/>
        <w:rPr>
          <w:sz w:val="24"/>
          <w:szCs w:val="24"/>
        </w:rPr>
      </w:pPr>
      <w:r w:rsidRPr="00104E98">
        <w:rPr>
          <w:rFonts w:ascii="Work Sans" w:hAnsi="Work Sans" w:cs="Arial"/>
          <w:sz w:val="24"/>
          <w:szCs w:val="24"/>
          <w:lang w:eastAsia="es-ES"/>
        </w:rPr>
        <w:t xml:space="preserve">En consecuencia, </w:t>
      </w:r>
      <w:r w:rsidRPr="00104E98">
        <w:rPr>
          <w:rFonts w:ascii="Work Sans" w:hAnsi="Work Sans"/>
          <w:sz w:val="24"/>
          <w:szCs w:val="24"/>
        </w:rPr>
        <w:t>mediante la Resolución No. 40237 del 14 de agosto de 2020, “</w:t>
      </w:r>
      <w:r w:rsidRPr="00104E98">
        <w:rPr>
          <w:rFonts w:ascii="Work Sans" w:hAnsi="Work Sans"/>
          <w:i/>
          <w:iCs/>
          <w:sz w:val="24"/>
          <w:szCs w:val="24"/>
        </w:rPr>
        <w:t>Por la cual se adoptan los lineamientos de mediación que deberán aplicarse en virtud de lo previsto por el numeral 2 del artículo 19 de la Ley 1753 de 2015</w:t>
      </w:r>
      <w:r w:rsidRPr="00104E98">
        <w:rPr>
          <w:rFonts w:ascii="Work Sans" w:hAnsi="Work Sans"/>
          <w:sz w:val="24"/>
          <w:szCs w:val="24"/>
        </w:rPr>
        <w:t xml:space="preserve">”, se decidió establecer </w:t>
      </w:r>
      <w:r w:rsidR="00084072">
        <w:rPr>
          <w:rFonts w:ascii="Work Sans" w:hAnsi="Work Sans"/>
          <w:sz w:val="24"/>
          <w:szCs w:val="24"/>
        </w:rPr>
        <w:t xml:space="preserve">los </w:t>
      </w:r>
      <w:r w:rsidRPr="00104E98">
        <w:rPr>
          <w:rFonts w:ascii="Work Sans" w:hAnsi="Work Sans"/>
          <w:sz w:val="24"/>
          <w:szCs w:val="24"/>
        </w:rPr>
        <w:t>lineamientos para el ejercicio de la mediación como instrumento que contribuya a la solución de los conflictos que se presenten entre los titulares mineros y los explotadores mineros que vienen adelantando actividades dentro del área del título, para apoyar la formalización de la pequeña minería.</w:t>
      </w:r>
    </w:p>
    <w:p w14:paraId="49E0208E" w14:textId="77777777" w:rsidR="00BE059B" w:rsidRPr="00104E98" w:rsidRDefault="00BE059B" w:rsidP="00BE059B">
      <w:pPr>
        <w:spacing w:after="0" w:line="240" w:lineRule="auto"/>
        <w:jc w:val="both"/>
        <w:rPr>
          <w:rFonts w:ascii="Work Sans" w:hAnsi="Work Sans"/>
          <w:sz w:val="24"/>
          <w:szCs w:val="24"/>
        </w:rPr>
      </w:pPr>
    </w:p>
    <w:p w14:paraId="364DBFA1" w14:textId="77777777" w:rsidR="00BE059B" w:rsidRPr="00104E98" w:rsidRDefault="00BE059B" w:rsidP="00BE059B">
      <w:pPr>
        <w:spacing w:after="0" w:line="240" w:lineRule="auto"/>
        <w:jc w:val="both"/>
        <w:rPr>
          <w:rFonts w:ascii="Work Sans" w:hAnsi="Work Sans"/>
          <w:sz w:val="24"/>
          <w:szCs w:val="24"/>
        </w:rPr>
      </w:pPr>
      <w:r w:rsidRPr="00104E98">
        <w:rPr>
          <w:rFonts w:ascii="Work Sans" w:hAnsi="Work Sans"/>
          <w:sz w:val="24"/>
          <w:szCs w:val="24"/>
        </w:rPr>
        <w:t xml:space="preserve">No obstante, es fundamental tener en cuenta que para dar inicio a un proceso de mediación es condición obligatoria contar con la </w:t>
      </w:r>
      <w:r w:rsidRPr="00104E98">
        <w:rPr>
          <w:rFonts w:ascii="Work Sans" w:hAnsi="Work Sans"/>
          <w:b/>
          <w:bCs/>
          <w:sz w:val="24"/>
          <w:szCs w:val="24"/>
        </w:rPr>
        <w:t>voluntad del titular minero</w:t>
      </w:r>
      <w:r w:rsidRPr="00104E98">
        <w:rPr>
          <w:rFonts w:ascii="Work Sans" w:hAnsi="Work Sans"/>
          <w:sz w:val="24"/>
          <w:szCs w:val="24"/>
        </w:rPr>
        <w:t xml:space="preserve"> y que el resultado de dicha mediación depende únicamente de las partes, siendo responsabilidad de estas, los acuerdos, cláusulas y cumplimiento, toda vez que la función de este ministerio es el acompañamiento objetivo al proceso. </w:t>
      </w:r>
    </w:p>
    <w:bookmarkEnd w:id="1"/>
    <w:p w14:paraId="2768B95D" w14:textId="77777777" w:rsidR="00CD6115" w:rsidRDefault="00CD6115" w:rsidP="003459C6">
      <w:pPr>
        <w:suppressAutoHyphens w:val="0"/>
        <w:spacing w:after="0" w:line="240" w:lineRule="auto"/>
        <w:jc w:val="both"/>
        <w:rPr>
          <w:rFonts w:ascii="Work Sans" w:hAnsi="Work Sans"/>
          <w:sz w:val="24"/>
          <w:szCs w:val="24"/>
        </w:rPr>
      </w:pPr>
    </w:p>
    <w:p w14:paraId="73428278" w14:textId="18DF006E" w:rsidR="00CD6115" w:rsidRPr="00104E98" w:rsidRDefault="00CD6115" w:rsidP="00CD6115">
      <w:pPr>
        <w:suppressAutoHyphens w:val="0"/>
        <w:spacing w:after="0" w:line="240" w:lineRule="auto"/>
        <w:jc w:val="both"/>
        <w:rPr>
          <w:rFonts w:ascii="Work Sans" w:hAnsi="Work Sans"/>
          <w:sz w:val="24"/>
          <w:szCs w:val="24"/>
        </w:rPr>
      </w:pPr>
      <w:r w:rsidRPr="00104E98">
        <w:rPr>
          <w:rFonts w:ascii="Work Sans" w:hAnsi="Work Sans"/>
          <w:sz w:val="24"/>
          <w:szCs w:val="24"/>
        </w:rPr>
        <w:t xml:space="preserve">De acuerdo con lo anterior, desde el Ministerio de Minas y Energía </w:t>
      </w:r>
      <w:r>
        <w:rPr>
          <w:rFonts w:ascii="Work Sans" w:hAnsi="Work Sans"/>
          <w:sz w:val="24"/>
          <w:szCs w:val="24"/>
        </w:rPr>
        <w:t xml:space="preserve">estableceremos contacto con el titular minero con el fin de determinar la voluntad y así </w:t>
      </w:r>
      <w:r>
        <w:rPr>
          <w:rFonts w:ascii="Work Sans" w:hAnsi="Work Sans"/>
          <w:sz w:val="24"/>
          <w:szCs w:val="24"/>
        </w:rPr>
        <w:lastRenderedPageBreak/>
        <w:t>poder iniciar el respectivo acompañamiento con fines de mediación, para lo cual hemos solicitado a la Agencia Nacional de Minería – ANM el estado actual del título y el contacto de la empresa para la respectiva comunicación.</w:t>
      </w:r>
    </w:p>
    <w:p w14:paraId="59942F20" w14:textId="77777777" w:rsidR="00CD6115" w:rsidRPr="00104E98" w:rsidRDefault="00CD6115" w:rsidP="00CD6115">
      <w:pPr>
        <w:spacing w:after="0" w:line="240" w:lineRule="auto"/>
        <w:jc w:val="both"/>
        <w:rPr>
          <w:rFonts w:ascii="Work Sans" w:hAnsi="Work Sans"/>
          <w:sz w:val="24"/>
          <w:szCs w:val="24"/>
        </w:rPr>
      </w:pPr>
    </w:p>
    <w:p w14:paraId="28EF5A06" w14:textId="554FBF07" w:rsidR="00445BF6" w:rsidRDefault="00CD6115" w:rsidP="00445BF6">
      <w:pPr>
        <w:spacing w:line="240" w:lineRule="auto"/>
        <w:ind w:right="51"/>
        <w:contextualSpacing/>
        <w:jc w:val="both"/>
        <w:rPr>
          <w:rFonts w:ascii="Work Sans" w:hAnsi="Work Sans"/>
          <w:sz w:val="24"/>
          <w:szCs w:val="24"/>
        </w:rPr>
      </w:pPr>
      <w:r>
        <w:rPr>
          <w:rFonts w:ascii="Work Sans" w:hAnsi="Work Sans"/>
          <w:sz w:val="24"/>
          <w:szCs w:val="24"/>
        </w:rPr>
        <w:t>A</w:t>
      </w:r>
      <w:r w:rsidRPr="00104E98">
        <w:rPr>
          <w:rFonts w:ascii="Work Sans" w:hAnsi="Work Sans"/>
          <w:sz w:val="24"/>
          <w:szCs w:val="24"/>
        </w:rPr>
        <w:t>nte cualquier duda o inquietud</w:t>
      </w:r>
      <w:r>
        <w:rPr>
          <w:rFonts w:ascii="Work Sans" w:hAnsi="Work Sans"/>
          <w:sz w:val="24"/>
          <w:szCs w:val="24"/>
        </w:rPr>
        <w:t xml:space="preserve"> adicional,</w:t>
      </w:r>
      <w:r w:rsidRPr="00104E98">
        <w:rPr>
          <w:rFonts w:ascii="Work Sans" w:hAnsi="Work Sans"/>
          <w:sz w:val="24"/>
          <w:szCs w:val="24"/>
        </w:rPr>
        <w:t xml:space="preserve"> por fa</w:t>
      </w:r>
      <w:r w:rsidR="00ED6970">
        <w:rPr>
          <w:rFonts w:ascii="Work Sans" w:hAnsi="Work Sans"/>
          <w:sz w:val="24"/>
          <w:szCs w:val="24"/>
        </w:rPr>
        <w:t>vor</w:t>
      </w:r>
      <w:r w:rsidRPr="00104E98">
        <w:rPr>
          <w:rFonts w:ascii="Work Sans" w:hAnsi="Work Sans"/>
          <w:sz w:val="24"/>
          <w:szCs w:val="24"/>
        </w:rPr>
        <w:t xml:space="preserve"> comunicarse con el</w:t>
      </w:r>
      <w:r w:rsidR="00ED6970">
        <w:rPr>
          <w:rFonts w:ascii="Work Sans" w:hAnsi="Work Sans"/>
          <w:sz w:val="24"/>
          <w:szCs w:val="24"/>
        </w:rPr>
        <w:t xml:space="preserve"> </w:t>
      </w:r>
      <w:r>
        <w:rPr>
          <w:rFonts w:ascii="Work Sans" w:hAnsi="Work Sans"/>
          <w:sz w:val="24"/>
          <w:szCs w:val="24"/>
        </w:rPr>
        <w:t>geólogo</w:t>
      </w:r>
      <w:r w:rsidRPr="00104E98">
        <w:rPr>
          <w:rFonts w:ascii="Work Sans" w:hAnsi="Work Sans"/>
          <w:sz w:val="24"/>
          <w:szCs w:val="24"/>
        </w:rPr>
        <w:t xml:space="preserve"> Manuel Barragán, profesional técnico de apoyo en el departamento de Antioquia, al correo electrónico </w:t>
      </w:r>
      <w:hyperlink r:id="rId7" w:history="1">
        <w:r w:rsidRPr="00104E98">
          <w:rPr>
            <w:rStyle w:val="Hipervnculo"/>
            <w:rFonts w:ascii="Work Sans" w:hAnsi="Work Sans"/>
            <w:sz w:val="24"/>
            <w:szCs w:val="24"/>
          </w:rPr>
          <w:t>mfbarragan@minenergia.gov.co</w:t>
        </w:r>
      </w:hyperlink>
      <w:r w:rsidRPr="00104E98">
        <w:rPr>
          <w:rFonts w:ascii="Work Sans" w:hAnsi="Work Sans"/>
          <w:sz w:val="24"/>
          <w:szCs w:val="24"/>
        </w:rPr>
        <w:t xml:space="preserve"> o al número telefónico 3126200431</w:t>
      </w:r>
      <w:r w:rsidR="00347367">
        <w:rPr>
          <w:rFonts w:ascii="Work Sans" w:hAnsi="Work Sans"/>
          <w:sz w:val="24"/>
          <w:szCs w:val="24"/>
        </w:rPr>
        <w:t>.</w:t>
      </w:r>
    </w:p>
    <w:p w14:paraId="2093C13C" w14:textId="77777777" w:rsidR="00CD6115" w:rsidRPr="00445BF6" w:rsidRDefault="00CD6115" w:rsidP="00445BF6">
      <w:pPr>
        <w:spacing w:line="240" w:lineRule="auto"/>
        <w:ind w:right="51"/>
        <w:contextualSpacing/>
        <w:jc w:val="both"/>
        <w:rPr>
          <w:rFonts w:ascii="Work Sans" w:hAnsi="Work Sans"/>
          <w:sz w:val="24"/>
          <w:szCs w:val="24"/>
        </w:rPr>
      </w:pPr>
    </w:p>
    <w:p w14:paraId="3D6FA3B0" w14:textId="2D0A58A0" w:rsidR="005D386A" w:rsidRPr="003459C6" w:rsidRDefault="003459C6" w:rsidP="003459C6">
      <w:pPr>
        <w:suppressAutoHyphens w:val="0"/>
        <w:spacing w:before="100" w:beforeAutospacing="1" w:after="100" w:afterAutospacing="1" w:line="240" w:lineRule="auto"/>
        <w:jc w:val="both"/>
        <w:rPr>
          <w:rFonts w:ascii="Work Sans" w:eastAsia="Times New Roman" w:hAnsi="Work Sans" w:cs="Times New Roman"/>
          <w:sz w:val="24"/>
          <w:szCs w:val="24"/>
          <w:lang w:eastAsia="es-CO"/>
        </w:rPr>
      </w:pPr>
      <w:r w:rsidRPr="00ED6970">
        <w:rPr>
          <w:rFonts w:ascii="Work Sans" w:eastAsia="Times New Roman" w:hAnsi="Work Sans" w:cs="Times New Roman"/>
          <w:sz w:val="24"/>
          <w:szCs w:val="24"/>
          <w:lang w:eastAsia="es-CO"/>
        </w:rPr>
        <w:t>Finalmente</w:t>
      </w:r>
      <w:r w:rsidR="006E5BF6" w:rsidRPr="00ED6970">
        <w:rPr>
          <w:rFonts w:ascii="Work Sans" w:eastAsia="Times New Roman" w:hAnsi="Work Sans" w:cs="Times New Roman"/>
          <w:sz w:val="24"/>
          <w:szCs w:val="24"/>
          <w:lang w:eastAsia="es-CO"/>
        </w:rPr>
        <w:t xml:space="preserve">, es importante </w:t>
      </w:r>
      <w:r w:rsidR="00084072" w:rsidRPr="00ED6970">
        <w:rPr>
          <w:rFonts w:ascii="Work Sans" w:eastAsia="Times New Roman" w:hAnsi="Work Sans" w:cs="Times New Roman"/>
          <w:sz w:val="24"/>
          <w:szCs w:val="24"/>
          <w:lang w:eastAsia="es-CO"/>
        </w:rPr>
        <w:t>destacar</w:t>
      </w:r>
      <w:r w:rsidR="006E5BF6" w:rsidRPr="00ED6970">
        <w:rPr>
          <w:rFonts w:ascii="Work Sans" w:eastAsia="Times New Roman" w:hAnsi="Work Sans" w:cs="Times New Roman"/>
          <w:sz w:val="24"/>
          <w:szCs w:val="24"/>
          <w:lang w:eastAsia="es-CO"/>
        </w:rPr>
        <w:t xml:space="preserve"> que haber realizado </w:t>
      </w:r>
      <w:r w:rsidRPr="00ED6970">
        <w:rPr>
          <w:rFonts w:ascii="Work Sans" w:eastAsia="Times New Roman" w:hAnsi="Work Sans" w:cs="Times New Roman"/>
          <w:sz w:val="24"/>
          <w:szCs w:val="24"/>
          <w:lang w:eastAsia="es-CO"/>
        </w:rPr>
        <w:t xml:space="preserve">una solicitud de acompañamiento ante la autoridad minera, </w:t>
      </w:r>
      <w:r w:rsidR="006E5BF6" w:rsidRPr="00ED6970">
        <w:rPr>
          <w:rFonts w:ascii="Work Sans" w:eastAsia="Times New Roman" w:hAnsi="Work Sans" w:cs="Times New Roman"/>
          <w:sz w:val="24"/>
          <w:szCs w:val="24"/>
          <w:lang w:eastAsia="es-CO"/>
        </w:rPr>
        <w:t xml:space="preserve">un proceso de caracterización o </w:t>
      </w:r>
      <w:r w:rsidR="00084072" w:rsidRPr="00ED6970">
        <w:rPr>
          <w:rFonts w:ascii="Work Sans" w:eastAsia="Times New Roman" w:hAnsi="Work Sans" w:cs="Times New Roman"/>
          <w:sz w:val="24"/>
          <w:szCs w:val="24"/>
          <w:lang w:eastAsia="es-CO"/>
        </w:rPr>
        <w:t>de</w:t>
      </w:r>
      <w:r w:rsidR="006E5BF6" w:rsidRPr="00ED6970">
        <w:rPr>
          <w:rFonts w:ascii="Work Sans" w:eastAsia="Times New Roman" w:hAnsi="Work Sans" w:cs="Times New Roman"/>
          <w:sz w:val="24"/>
          <w:szCs w:val="24"/>
          <w:lang w:eastAsia="es-CO"/>
        </w:rPr>
        <w:t xml:space="preserve"> diligenciamiento del formulario de intención de formalización</w:t>
      </w:r>
      <w:r w:rsidR="00084072" w:rsidRPr="00ED6970">
        <w:rPr>
          <w:rFonts w:ascii="Work Sans" w:eastAsia="Times New Roman" w:hAnsi="Work Sans" w:cs="Times New Roman"/>
          <w:sz w:val="24"/>
          <w:szCs w:val="24"/>
          <w:lang w:eastAsia="es-CO"/>
        </w:rPr>
        <w:t>,</w:t>
      </w:r>
      <w:r w:rsidR="006E5BF6" w:rsidRPr="00ED6970">
        <w:rPr>
          <w:rFonts w:ascii="Work Sans" w:eastAsia="Times New Roman" w:hAnsi="Work Sans" w:cs="Times New Roman"/>
          <w:sz w:val="24"/>
          <w:szCs w:val="24"/>
          <w:lang w:eastAsia="es-CO"/>
        </w:rPr>
        <w:t xml:space="preserve"> no constituye una prerrogativa de explotación</w:t>
      </w:r>
      <w:r w:rsidR="00084072" w:rsidRPr="00ED6970">
        <w:rPr>
          <w:rFonts w:ascii="Work Sans" w:eastAsia="Times New Roman" w:hAnsi="Work Sans" w:cs="Times New Roman"/>
          <w:sz w:val="24"/>
          <w:szCs w:val="24"/>
          <w:lang w:eastAsia="es-CO"/>
        </w:rPr>
        <w:t>,</w:t>
      </w:r>
      <w:r w:rsidR="006E5BF6" w:rsidRPr="00ED6970">
        <w:rPr>
          <w:rFonts w:ascii="Work Sans" w:eastAsia="Times New Roman" w:hAnsi="Work Sans" w:cs="Times New Roman"/>
          <w:sz w:val="24"/>
          <w:szCs w:val="24"/>
          <w:lang w:eastAsia="es-CO"/>
        </w:rPr>
        <w:t xml:space="preserve"> ni un derecho adquirido; los mismos solo registran la manifestación voluntaria del interesado en avanzar en un proceso de formalización minera.</w:t>
      </w:r>
    </w:p>
    <w:p w14:paraId="7F631C2F" w14:textId="7909DE29" w:rsidR="00484A5A" w:rsidRPr="00104E98" w:rsidRDefault="000C51CC" w:rsidP="00A87364">
      <w:pPr>
        <w:spacing w:line="240" w:lineRule="auto"/>
        <w:ind w:right="51"/>
        <w:contextualSpacing/>
        <w:jc w:val="both"/>
        <w:rPr>
          <w:rFonts w:ascii="Work Sans" w:hAnsi="Work Sans" w:cs="Arial"/>
          <w:sz w:val="24"/>
          <w:szCs w:val="24"/>
        </w:rPr>
      </w:pPr>
      <w:r w:rsidRPr="00104E98">
        <w:rPr>
          <w:rFonts w:ascii="Work Sans" w:hAnsi="Work Sans" w:cs="Arial"/>
          <w:sz w:val="24"/>
          <w:szCs w:val="24"/>
        </w:rPr>
        <w:t>Atentamente</w:t>
      </w:r>
      <w:r w:rsidR="00484A5A" w:rsidRPr="00104E98">
        <w:rPr>
          <w:rFonts w:ascii="Work Sans" w:hAnsi="Work Sans" w:cs="Arial"/>
          <w:sz w:val="24"/>
          <w:szCs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20C0" w14:textId="77777777" w:rsidR="00494D43" w:rsidRDefault="00494D43">
      <w:pPr>
        <w:spacing w:after="0" w:line="240" w:lineRule="auto"/>
      </w:pPr>
      <w:r>
        <w:separator/>
      </w:r>
    </w:p>
  </w:endnote>
  <w:endnote w:type="continuationSeparator" w:id="0">
    <w:p w14:paraId="19083873" w14:textId="77777777" w:rsidR="00494D43" w:rsidRDefault="00494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2995" w14:textId="77777777" w:rsidR="00494D43" w:rsidRDefault="00494D43">
      <w:pPr>
        <w:spacing w:after="0" w:line="240" w:lineRule="auto"/>
      </w:pPr>
      <w:r>
        <w:separator/>
      </w:r>
    </w:p>
  </w:footnote>
  <w:footnote w:type="continuationSeparator" w:id="0">
    <w:p w14:paraId="3A7DD8C3" w14:textId="77777777" w:rsidR="00494D43" w:rsidRDefault="00494D43">
      <w:pPr>
        <w:spacing w:after="0" w:line="240" w:lineRule="auto"/>
      </w:pPr>
      <w:r>
        <w:continuationSeparator/>
      </w:r>
    </w:p>
  </w:footnote>
  <w:footnote w:id="1">
    <w:p w14:paraId="36782587" w14:textId="77777777" w:rsidR="00BE059B" w:rsidRDefault="00BE059B" w:rsidP="00BE059B">
      <w:pPr>
        <w:pStyle w:val="Textonotapie"/>
        <w:rPr>
          <w:sz w:val="14"/>
          <w:szCs w:val="14"/>
        </w:rPr>
      </w:pPr>
      <w:r>
        <w:rPr>
          <w:rStyle w:val="Refdenotaalpie"/>
        </w:rPr>
        <w:footnoteRef/>
      </w:r>
      <w:r>
        <w:t xml:space="preserve"> </w:t>
      </w:r>
      <w:r>
        <w:rPr>
          <w:sz w:val="14"/>
          <w:szCs w:val="14"/>
        </w:rPr>
        <w:t>1)Áreas de Reserva Especial; 2) Contratos de Concesión con requisitos diferenciales para la Pequeña Minería; 3) Contratos de Concesión Minera; 4) Solicitudes de Formalización de Minería Tradicional; y 5) Solicitudes de Legalización de Minería de Hecho.</w:t>
      </w:r>
    </w:p>
  </w:footnote>
  <w:footnote w:id="2">
    <w:p w14:paraId="3A44801D" w14:textId="77777777" w:rsidR="00BE059B" w:rsidRDefault="00BE059B" w:rsidP="00BE059B">
      <w:pPr>
        <w:pStyle w:val="Textonotapie"/>
        <w:rPr>
          <w:sz w:val="14"/>
          <w:szCs w:val="14"/>
        </w:rPr>
      </w:pPr>
      <w:r>
        <w:rPr>
          <w:sz w:val="14"/>
          <w:szCs w:val="14"/>
        </w:rPr>
        <w:footnoteRef/>
      </w:r>
      <w:r>
        <w:rPr>
          <w:sz w:val="14"/>
          <w:szCs w:val="14"/>
        </w:rPr>
        <w:t xml:space="preserve"> 1) Subcontrato de Formalización Minera; 2) Devolución de Área para la Formalización Minera; 3) Cesión de Derechos; 4) Cesión de Áreas; 5) Contratos de Asociación y Operación.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10260"/>
    <w:multiLevelType w:val="hybridMultilevel"/>
    <w:tmpl w:val="86C225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4859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2716F"/>
    <w:rsid w:val="00032266"/>
    <w:rsid w:val="000418C8"/>
    <w:rsid w:val="00071EE2"/>
    <w:rsid w:val="00082BE3"/>
    <w:rsid w:val="00084072"/>
    <w:rsid w:val="000C51CC"/>
    <w:rsid w:val="00104E98"/>
    <w:rsid w:val="001275BE"/>
    <w:rsid w:val="001818F1"/>
    <w:rsid w:val="001E4E66"/>
    <w:rsid w:val="0021150D"/>
    <w:rsid w:val="00235D9D"/>
    <w:rsid w:val="002478C2"/>
    <w:rsid w:val="0026120F"/>
    <w:rsid w:val="00262ACE"/>
    <w:rsid w:val="002642B7"/>
    <w:rsid w:val="002D1779"/>
    <w:rsid w:val="002E5DAD"/>
    <w:rsid w:val="002F6BD7"/>
    <w:rsid w:val="003033E8"/>
    <w:rsid w:val="00303F5B"/>
    <w:rsid w:val="003121A9"/>
    <w:rsid w:val="00315106"/>
    <w:rsid w:val="00337656"/>
    <w:rsid w:val="003459C6"/>
    <w:rsid w:val="00347367"/>
    <w:rsid w:val="00371F16"/>
    <w:rsid w:val="00373FAD"/>
    <w:rsid w:val="00381F12"/>
    <w:rsid w:val="003A5D43"/>
    <w:rsid w:val="003B20E6"/>
    <w:rsid w:val="003B2B73"/>
    <w:rsid w:val="003D34DF"/>
    <w:rsid w:val="00443FDD"/>
    <w:rsid w:val="00445BF6"/>
    <w:rsid w:val="004473A9"/>
    <w:rsid w:val="0047259A"/>
    <w:rsid w:val="00482566"/>
    <w:rsid w:val="00484A5A"/>
    <w:rsid w:val="00484EAF"/>
    <w:rsid w:val="00492195"/>
    <w:rsid w:val="00494D43"/>
    <w:rsid w:val="00496E70"/>
    <w:rsid w:val="004A4249"/>
    <w:rsid w:val="004D5CD9"/>
    <w:rsid w:val="004E6A02"/>
    <w:rsid w:val="004F1F24"/>
    <w:rsid w:val="005053D8"/>
    <w:rsid w:val="00506C2B"/>
    <w:rsid w:val="00517C06"/>
    <w:rsid w:val="005225C6"/>
    <w:rsid w:val="005617AA"/>
    <w:rsid w:val="005646C4"/>
    <w:rsid w:val="00593FEB"/>
    <w:rsid w:val="0059788C"/>
    <w:rsid w:val="005A6326"/>
    <w:rsid w:val="005D386A"/>
    <w:rsid w:val="005E0555"/>
    <w:rsid w:val="00627457"/>
    <w:rsid w:val="006376CE"/>
    <w:rsid w:val="00640E5A"/>
    <w:rsid w:val="006A391B"/>
    <w:rsid w:val="006E5BF6"/>
    <w:rsid w:val="00720B36"/>
    <w:rsid w:val="00737BC1"/>
    <w:rsid w:val="00740DB7"/>
    <w:rsid w:val="00742A88"/>
    <w:rsid w:val="00745491"/>
    <w:rsid w:val="00754CBE"/>
    <w:rsid w:val="007642B1"/>
    <w:rsid w:val="0077308E"/>
    <w:rsid w:val="00780C7A"/>
    <w:rsid w:val="0079674D"/>
    <w:rsid w:val="007A5A72"/>
    <w:rsid w:val="007D5647"/>
    <w:rsid w:val="008049E4"/>
    <w:rsid w:val="00830730"/>
    <w:rsid w:val="00851F8B"/>
    <w:rsid w:val="00892C0E"/>
    <w:rsid w:val="008C415D"/>
    <w:rsid w:val="008E4ABF"/>
    <w:rsid w:val="008F39EA"/>
    <w:rsid w:val="009107F2"/>
    <w:rsid w:val="00914312"/>
    <w:rsid w:val="00914977"/>
    <w:rsid w:val="009169C2"/>
    <w:rsid w:val="009359F1"/>
    <w:rsid w:val="00944040"/>
    <w:rsid w:val="0095183A"/>
    <w:rsid w:val="00960BE8"/>
    <w:rsid w:val="00966905"/>
    <w:rsid w:val="00981241"/>
    <w:rsid w:val="00985F14"/>
    <w:rsid w:val="009935B1"/>
    <w:rsid w:val="00994506"/>
    <w:rsid w:val="009E5228"/>
    <w:rsid w:val="00A20E30"/>
    <w:rsid w:val="00A32AC6"/>
    <w:rsid w:val="00A3590E"/>
    <w:rsid w:val="00A45D92"/>
    <w:rsid w:val="00A63B2A"/>
    <w:rsid w:val="00A86526"/>
    <w:rsid w:val="00A87364"/>
    <w:rsid w:val="00AD05B5"/>
    <w:rsid w:val="00AD43C1"/>
    <w:rsid w:val="00B35913"/>
    <w:rsid w:val="00B4250F"/>
    <w:rsid w:val="00B51607"/>
    <w:rsid w:val="00B54127"/>
    <w:rsid w:val="00B5497D"/>
    <w:rsid w:val="00BE059B"/>
    <w:rsid w:val="00C0455B"/>
    <w:rsid w:val="00C91F27"/>
    <w:rsid w:val="00CA60DC"/>
    <w:rsid w:val="00CB099A"/>
    <w:rsid w:val="00CB0EC1"/>
    <w:rsid w:val="00CB7EEC"/>
    <w:rsid w:val="00CD6115"/>
    <w:rsid w:val="00D1349F"/>
    <w:rsid w:val="00D169A5"/>
    <w:rsid w:val="00D457AB"/>
    <w:rsid w:val="00DC7B37"/>
    <w:rsid w:val="00DD165C"/>
    <w:rsid w:val="00DE1913"/>
    <w:rsid w:val="00DE425D"/>
    <w:rsid w:val="00DE5422"/>
    <w:rsid w:val="00DF292F"/>
    <w:rsid w:val="00E113E2"/>
    <w:rsid w:val="00E23C07"/>
    <w:rsid w:val="00E37AC0"/>
    <w:rsid w:val="00E823F2"/>
    <w:rsid w:val="00EB3862"/>
    <w:rsid w:val="00ED5AC6"/>
    <w:rsid w:val="00ED6970"/>
    <w:rsid w:val="00EE4295"/>
    <w:rsid w:val="00F144B5"/>
    <w:rsid w:val="00F35521"/>
    <w:rsid w:val="00F6302C"/>
    <w:rsid w:val="00F80A1F"/>
    <w:rsid w:val="00F94C11"/>
    <w:rsid w:val="00FA2682"/>
    <w:rsid w:val="00FA439A"/>
    <w:rsid w:val="00FD392C"/>
    <w:rsid w:val="00FF19E0"/>
    <w:rsid w:val="00FF368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0C51CC"/>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0C51CC"/>
    <w:pPr>
      <w:ind w:left="720"/>
      <w:contextualSpacing/>
    </w:pPr>
  </w:style>
  <w:style w:type="character" w:customStyle="1" w:styleId="fuentedeprrafopredeter111111111">
    <w:name w:val="fuente de párrafo predeter.1_1_1_1_1_1_1_1_1"/>
    <w:rsid w:val="00FF19E0"/>
  </w:style>
  <w:style w:type="character" w:customStyle="1" w:styleId="fuentedeprrafopredeter113">
    <w:name w:val="fuente de párrafo predeter.1_1_3"/>
    <w:rsid w:val="00FF19E0"/>
  </w:style>
  <w:style w:type="paragraph" w:styleId="Textonotapie">
    <w:name w:val="footnote text"/>
    <w:basedOn w:val="Normal"/>
    <w:link w:val="TextonotapieCar"/>
    <w:uiPriority w:val="99"/>
    <w:unhideWhenUsed/>
    <w:rsid w:val="002F6BD7"/>
    <w:pPr>
      <w:suppressAutoHyphens w:val="0"/>
      <w:spacing w:after="0" w:line="240" w:lineRule="auto"/>
    </w:pPr>
    <w:rPr>
      <w:kern w:val="2"/>
      <w:sz w:val="20"/>
      <w:szCs w:val="20"/>
      <w14:ligatures w14:val="standardContextual"/>
    </w:rPr>
  </w:style>
  <w:style w:type="character" w:customStyle="1" w:styleId="TextonotapieCar">
    <w:name w:val="Texto nota pie Car"/>
    <w:basedOn w:val="Fuentedeprrafopredeter"/>
    <w:link w:val="Textonotapie"/>
    <w:uiPriority w:val="99"/>
    <w:rsid w:val="002F6BD7"/>
    <w:rPr>
      <w:kern w:val="2"/>
      <w:sz w:val="20"/>
      <w:szCs w:val="20"/>
      <w14:ligatures w14:val="standardContextual"/>
    </w:rPr>
  </w:style>
  <w:style w:type="character" w:styleId="Refdenotaalpie">
    <w:name w:val="footnote reference"/>
    <w:basedOn w:val="Fuentedeprrafopredeter"/>
    <w:uiPriority w:val="99"/>
    <w:semiHidden/>
    <w:unhideWhenUsed/>
    <w:rsid w:val="002F6BD7"/>
    <w:rPr>
      <w:vertAlign w:val="superscript"/>
    </w:rPr>
  </w:style>
  <w:style w:type="character" w:styleId="nfasis">
    <w:name w:val="Emphasis"/>
    <w:basedOn w:val="Fuentedeprrafopredeter"/>
    <w:uiPriority w:val="20"/>
    <w:qFormat/>
    <w:rsid w:val="002F6BD7"/>
    <w:rPr>
      <w:i/>
      <w:iCs/>
    </w:rPr>
  </w:style>
  <w:style w:type="character" w:styleId="Textoennegrita">
    <w:name w:val="Strong"/>
    <w:basedOn w:val="Fuentedeprrafopredeter"/>
    <w:uiPriority w:val="22"/>
    <w:qFormat/>
    <w:rsid w:val="002F6BD7"/>
    <w:rPr>
      <w:b/>
      <w:bCs/>
    </w:rPr>
  </w:style>
  <w:style w:type="character" w:styleId="Hipervnculo">
    <w:name w:val="Hyperlink"/>
    <w:basedOn w:val="Fuentedeprrafopredeter"/>
    <w:uiPriority w:val="99"/>
    <w:unhideWhenUsed/>
    <w:rsid w:val="008C415D"/>
    <w:rPr>
      <w:color w:val="0563C1" w:themeColor="hyperlink"/>
      <w:u w:val="single"/>
    </w:rPr>
  </w:style>
  <w:style w:type="character" w:styleId="Mencinsinresolver">
    <w:name w:val="Unresolved Mention"/>
    <w:basedOn w:val="Fuentedeprrafopredeter"/>
    <w:uiPriority w:val="99"/>
    <w:semiHidden/>
    <w:unhideWhenUsed/>
    <w:rsid w:val="008C415D"/>
    <w:rPr>
      <w:color w:val="605E5C"/>
      <w:shd w:val="clear" w:color="auto" w:fill="E1DFDD"/>
    </w:rPr>
  </w:style>
  <w:style w:type="character" w:customStyle="1" w:styleId="normaltextrun">
    <w:name w:val="normaltextrun"/>
    <w:basedOn w:val="Fuentedeprrafopredeter"/>
    <w:rsid w:val="00DE5422"/>
  </w:style>
  <w:style w:type="paragraph" w:customStyle="1" w:styleId="Default">
    <w:name w:val="Default"/>
    <w:rsid w:val="00BE059B"/>
    <w:pPr>
      <w:suppressAutoHyphens w:val="0"/>
      <w:autoSpaceDE w:val="0"/>
      <w:autoSpaceDN w:val="0"/>
      <w:adjustRightInd w:val="0"/>
    </w:pPr>
    <w:rPr>
      <w:rFonts w:ascii="Work Sans" w:hAnsi="Work Sans" w:cs="Work Sans"/>
      <w:color w:val="000000"/>
      <w:sz w:val="24"/>
      <w:szCs w:val="24"/>
    </w:rPr>
  </w:style>
  <w:style w:type="paragraph" w:styleId="Sinespaciado">
    <w:name w:val="No Spacing"/>
    <w:uiPriority w:val="1"/>
    <w:qFormat/>
    <w:rsid w:val="00445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12876">
      <w:bodyDiv w:val="1"/>
      <w:marLeft w:val="0"/>
      <w:marRight w:val="0"/>
      <w:marTop w:val="0"/>
      <w:marBottom w:val="0"/>
      <w:divBdr>
        <w:top w:val="none" w:sz="0" w:space="0" w:color="auto"/>
        <w:left w:val="none" w:sz="0" w:space="0" w:color="auto"/>
        <w:bottom w:val="none" w:sz="0" w:space="0" w:color="auto"/>
        <w:right w:val="none" w:sz="0" w:space="0" w:color="auto"/>
      </w:divBdr>
      <w:divsChild>
        <w:div w:id="1885824471">
          <w:marLeft w:val="0"/>
          <w:marRight w:val="0"/>
          <w:marTop w:val="0"/>
          <w:marBottom w:val="0"/>
          <w:divBdr>
            <w:top w:val="none" w:sz="0" w:space="0" w:color="auto"/>
            <w:left w:val="none" w:sz="0" w:space="0" w:color="auto"/>
            <w:bottom w:val="none" w:sz="0" w:space="0" w:color="auto"/>
            <w:right w:val="none" w:sz="0" w:space="0" w:color="auto"/>
          </w:divBdr>
          <w:divsChild>
            <w:div w:id="1391033613">
              <w:marLeft w:val="0"/>
              <w:marRight w:val="0"/>
              <w:marTop w:val="0"/>
              <w:marBottom w:val="120"/>
              <w:divBdr>
                <w:top w:val="none" w:sz="0" w:space="0" w:color="auto"/>
                <w:left w:val="none" w:sz="0" w:space="0" w:color="auto"/>
                <w:bottom w:val="none" w:sz="0" w:space="0" w:color="auto"/>
                <w:right w:val="none" w:sz="0" w:space="0" w:color="auto"/>
              </w:divBdr>
              <w:divsChild>
                <w:div w:id="1773353879">
                  <w:marLeft w:val="0"/>
                  <w:marRight w:val="0"/>
                  <w:marTop w:val="0"/>
                  <w:marBottom w:val="0"/>
                  <w:divBdr>
                    <w:top w:val="none" w:sz="0" w:space="0" w:color="auto"/>
                    <w:left w:val="none" w:sz="0" w:space="0" w:color="auto"/>
                    <w:bottom w:val="none" w:sz="0" w:space="0" w:color="auto"/>
                    <w:right w:val="none" w:sz="0" w:space="0" w:color="auto"/>
                  </w:divBdr>
                </w:div>
                <w:div w:id="844369818">
                  <w:marLeft w:val="0"/>
                  <w:marRight w:val="0"/>
                  <w:marTop w:val="0"/>
                  <w:marBottom w:val="0"/>
                  <w:divBdr>
                    <w:top w:val="none" w:sz="0" w:space="0" w:color="auto"/>
                    <w:left w:val="none" w:sz="0" w:space="0" w:color="auto"/>
                    <w:bottom w:val="none" w:sz="0" w:space="0" w:color="auto"/>
                    <w:right w:val="none" w:sz="0" w:space="0" w:color="auto"/>
                  </w:divBdr>
                </w:div>
                <w:div w:id="171770057">
                  <w:marLeft w:val="0"/>
                  <w:marRight w:val="0"/>
                  <w:marTop w:val="0"/>
                  <w:marBottom w:val="0"/>
                  <w:divBdr>
                    <w:top w:val="none" w:sz="0" w:space="0" w:color="auto"/>
                    <w:left w:val="none" w:sz="0" w:space="0" w:color="auto"/>
                    <w:bottom w:val="none" w:sz="0" w:space="0" w:color="auto"/>
                    <w:right w:val="none" w:sz="0" w:space="0" w:color="auto"/>
                  </w:divBdr>
                </w:div>
                <w:div w:id="939340846">
                  <w:marLeft w:val="0"/>
                  <w:marRight w:val="0"/>
                  <w:marTop w:val="0"/>
                  <w:marBottom w:val="0"/>
                  <w:divBdr>
                    <w:top w:val="none" w:sz="0" w:space="0" w:color="auto"/>
                    <w:left w:val="none" w:sz="0" w:space="0" w:color="auto"/>
                    <w:bottom w:val="none" w:sz="0" w:space="0" w:color="auto"/>
                    <w:right w:val="none" w:sz="0" w:space="0" w:color="auto"/>
                  </w:divBdr>
                </w:div>
                <w:div w:id="1814567580">
                  <w:marLeft w:val="0"/>
                  <w:marRight w:val="0"/>
                  <w:marTop w:val="0"/>
                  <w:marBottom w:val="0"/>
                  <w:divBdr>
                    <w:top w:val="none" w:sz="0" w:space="0" w:color="auto"/>
                    <w:left w:val="none" w:sz="0" w:space="0" w:color="auto"/>
                    <w:bottom w:val="none" w:sz="0" w:space="0" w:color="auto"/>
                    <w:right w:val="none" w:sz="0" w:space="0" w:color="auto"/>
                  </w:divBdr>
                </w:div>
                <w:div w:id="1820418017">
                  <w:marLeft w:val="0"/>
                  <w:marRight w:val="0"/>
                  <w:marTop w:val="0"/>
                  <w:marBottom w:val="0"/>
                  <w:divBdr>
                    <w:top w:val="none" w:sz="0" w:space="0" w:color="auto"/>
                    <w:left w:val="none" w:sz="0" w:space="0" w:color="auto"/>
                    <w:bottom w:val="none" w:sz="0" w:space="0" w:color="auto"/>
                    <w:right w:val="none" w:sz="0" w:space="0" w:color="auto"/>
                  </w:divBdr>
                </w:div>
                <w:div w:id="1462074229">
                  <w:marLeft w:val="0"/>
                  <w:marRight w:val="0"/>
                  <w:marTop w:val="0"/>
                  <w:marBottom w:val="0"/>
                  <w:divBdr>
                    <w:top w:val="none" w:sz="0" w:space="0" w:color="auto"/>
                    <w:left w:val="none" w:sz="0" w:space="0" w:color="auto"/>
                    <w:bottom w:val="none" w:sz="0" w:space="0" w:color="auto"/>
                    <w:right w:val="none" w:sz="0" w:space="0" w:color="auto"/>
                  </w:divBdr>
                </w:div>
                <w:div w:id="1439446615">
                  <w:marLeft w:val="0"/>
                  <w:marRight w:val="0"/>
                  <w:marTop w:val="0"/>
                  <w:marBottom w:val="0"/>
                  <w:divBdr>
                    <w:top w:val="none" w:sz="0" w:space="0" w:color="auto"/>
                    <w:left w:val="none" w:sz="0" w:space="0" w:color="auto"/>
                    <w:bottom w:val="none" w:sz="0" w:space="0" w:color="auto"/>
                    <w:right w:val="none" w:sz="0" w:space="0" w:color="auto"/>
                  </w:divBdr>
                </w:div>
                <w:div w:id="1104962113">
                  <w:marLeft w:val="0"/>
                  <w:marRight w:val="0"/>
                  <w:marTop w:val="0"/>
                  <w:marBottom w:val="0"/>
                  <w:divBdr>
                    <w:top w:val="none" w:sz="0" w:space="0" w:color="auto"/>
                    <w:left w:val="none" w:sz="0" w:space="0" w:color="auto"/>
                    <w:bottom w:val="none" w:sz="0" w:space="0" w:color="auto"/>
                    <w:right w:val="none" w:sz="0" w:space="0" w:color="auto"/>
                  </w:divBdr>
                </w:div>
                <w:div w:id="2135243976">
                  <w:marLeft w:val="0"/>
                  <w:marRight w:val="0"/>
                  <w:marTop w:val="0"/>
                  <w:marBottom w:val="0"/>
                  <w:divBdr>
                    <w:top w:val="none" w:sz="0" w:space="0" w:color="auto"/>
                    <w:left w:val="none" w:sz="0" w:space="0" w:color="auto"/>
                    <w:bottom w:val="none" w:sz="0" w:space="0" w:color="auto"/>
                    <w:right w:val="none" w:sz="0" w:space="0" w:color="auto"/>
                  </w:divBdr>
                </w:div>
              </w:divsChild>
            </w:div>
            <w:div w:id="875237663">
              <w:marLeft w:val="0"/>
              <w:marRight w:val="0"/>
              <w:marTop w:val="0"/>
              <w:marBottom w:val="120"/>
              <w:divBdr>
                <w:top w:val="none" w:sz="0" w:space="0" w:color="auto"/>
                <w:left w:val="none" w:sz="0" w:space="0" w:color="auto"/>
                <w:bottom w:val="none" w:sz="0" w:space="0" w:color="auto"/>
                <w:right w:val="none" w:sz="0" w:space="0" w:color="auto"/>
              </w:divBdr>
              <w:divsChild>
                <w:div w:id="345137054">
                  <w:marLeft w:val="0"/>
                  <w:marRight w:val="0"/>
                  <w:marTop w:val="0"/>
                  <w:marBottom w:val="0"/>
                  <w:divBdr>
                    <w:top w:val="none" w:sz="0" w:space="0" w:color="auto"/>
                    <w:left w:val="none" w:sz="0" w:space="0" w:color="auto"/>
                    <w:bottom w:val="none" w:sz="0" w:space="0" w:color="auto"/>
                    <w:right w:val="none" w:sz="0" w:space="0" w:color="auto"/>
                  </w:divBdr>
                </w:div>
                <w:div w:id="1417283318">
                  <w:marLeft w:val="0"/>
                  <w:marRight w:val="0"/>
                  <w:marTop w:val="0"/>
                  <w:marBottom w:val="0"/>
                  <w:divBdr>
                    <w:top w:val="none" w:sz="0" w:space="0" w:color="auto"/>
                    <w:left w:val="none" w:sz="0" w:space="0" w:color="auto"/>
                    <w:bottom w:val="none" w:sz="0" w:space="0" w:color="auto"/>
                    <w:right w:val="none" w:sz="0" w:space="0" w:color="auto"/>
                  </w:divBdr>
                </w:div>
                <w:div w:id="429860826">
                  <w:marLeft w:val="0"/>
                  <w:marRight w:val="0"/>
                  <w:marTop w:val="0"/>
                  <w:marBottom w:val="0"/>
                  <w:divBdr>
                    <w:top w:val="none" w:sz="0" w:space="0" w:color="auto"/>
                    <w:left w:val="none" w:sz="0" w:space="0" w:color="auto"/>
                    <w:bottom w:val="none" w:sz="0" w:space="0" w:color="auto"/>
                    <w:right w:val="none" w:sz="0" w:space="0" w:color="auto"/>
                  </w:divBdr>
                </w:div>
                <w:div w:id="1482965540">
                  <w:marLeft w:val="0"/>
                  <w:marRight w:val="0"/>
                  <w:marTop w:val="0"/>
                  <w:marBottom w:val="0"/>
                  <w:divBdr>
                    <w:top w:val="none" w:sz="0" w:space="0" w:color="auto"/>
                    <w:left w:val="none" w:sz="0" w:space="0" w:color="auto"/>
                    <w:bottom w:val="none" w:sz="0" w:space="0" w:color="auto"/>
                    <w:right w:val="none" w:sz="0" w:space="0" w:color="auto"/>
                  </w:divBdr>
                </w:div>
                <w:div w:id="1783304105">
                  <w:marLeft w:val="0"/>
                  <w:marRight w:val="0"/>
                  <w:marTop w:val="0"/>
                  <w:marBottom w:val="0"/>
                  <w:divBdr>
                    <w:top w:val="none" w:sz="0" w:space="0" w:color="auto"/>
                    <w:left w:val="none" w:sz="0" w:space="0" w:color="auto"/>
                    <w:bottom w:val="none" w:sz="0" w:space="0" w:color="auto"/>
                    <w:right w:val="none" w:sz="0" w:space="0" w:color="auto"/>
                  </w:divBdr>
                </w:div>
                <w:div w:id="156856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000694595">
      <w:bodyDiv w:val="1"/>
      <w:marLeft w:val="0"/>
      <w:marRight w:val="0"/>
      <w:marTop w:val="0"/>
      <w:marBottom w:val="0"/>
      <w:divBdr>
        <w:top w:val="none" w:sz="0" w:space="0" w:color="auto"/>
        <w:left w:val="none" w:sz="0" w:space="0" w:color="auto"/>
        <w:bottom w:val="none" w:sz="0" w:space="0" w:color="auto"/>
        <w:right w:val="none" w:sz="0" w:space="0" w:color="auto"/>
      </w:divBdr>
    </w:div>
    <w:div w:id="1239703926">
      <w:bodyDiv w:val="1"/>
      <w:marLeft w:val="0"/>
      <w:marRight w:val="0"/>
      <w:marTop w:val="0"/>
      <w:marBottom w:val="0"/>
      <w:divBdr>
        <w:top w:val="none" w:sz="0" w:space="0" w:color="auto"/>
        <w:left w:val="none" w:sz="0" w:space="0" w:color="auto"/>
        <w:bottom w:val="none" w:sz="0" w:space="0" w:color="auto"/>
        <w:right w:val="none" w:sz="0" w:space="0" w:color="auto"/>
      </w:divBdr>
    </w:div>
    <w:div w:id="1633440344">
      <w:bodyDiv w:val="1"/>
      <w:marLeft w:val="0"/>
      <w:marRight w:val="0"/>
      <w:marTop w:val="0"/>
      <w:marBottom w:val="0"/>
      <w:divBdr>
        <w:top w:val="none" w:sz="0" w:space="0" w:color="auto"/>
        <w:left w:val="none" w:sz="0" w:space="0" w:color="auto"/>
        <w:bottom w:val="none" w:sz="0" w:space="0" w:color="auto"/>
        <w:right w:val="none" w:sz="0" w:space="0" w:color="auto"/>
      </w:divBdr>
    </w:div>
    <w:div w:id="168369902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fbarragan@minenergi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3</Pages>
  <Words>754</Words>
  <Characters>4148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FRANCISCO ALBERTO BARBOSA MARIN</cp:lastModifiedBy>
  <cp:revision>11</cp:revision>
  <dcterms:created xsi:type="dcterms:W3CDTF">2026-05-21T02:02:00Z</dcterms:created>
  <dcterms:modified xsi:type="dcterms:W3CDTF">2026-06-23T17:14:00Z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